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450" w:lineRule="atLeast"/>
        <w:ind/>
        <w:jc w:val="both"/>
        <w:outlineLvl w:val="0"/>
        <w:rPr>
          <w:rFonts w:ascii="Arial" w:hAnsi="Arial"/>
          <w:b w:val="1"/>
          <w:color w:val="000000"/>
          <w:sz w:val="30"/>
        </w:rPr>
      </w:pPr>
      <w:r>
        <w:rPr>
          <w:rFonts w:ascii="Arial" w:hAnsi="Arial"/>
          <w:b w:val="1"/>
          <w:color w:val="000000"/>
          <w:sz w:val="30"/>
        </w:rPr>
        <w:t>XXIII. Применение и реализация пиротехнических изделий бытового назначения</w:t>
      </w:r>
    </w:p>
    <w:p w14:paraId="02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441. При подготовке и проведении фейерверков в местах массового пребывания людей с использованием пиротехнических изделий II - III класса опасности:</w:t>
      </w:r>
    </w:p>
    <w:p w14:paraId="03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а) должны быть реализованы дополнительные инженерно-технические мероприятия, при выполнении которых возможно проведение фейерверка с учетом требований инструкции на применяемые пиротехнические изделия. Они должны включать схему местности с нанесением на ней пунктов размещения фейерверочных изделий, предусматривать безопасные расстояния до зданий, сооружений с указанием границ безопасной зоны, а также места хранения пиротехнической продукц</w:t>
      </w:r>
      <w:r>
        <w:rPr>
          <w:rFonts w:ascii="Times New Roman" w:hAnsi="Times New Roman"/>
          <w:color w:val="000000"/>
          <w:sz w:val="30"/>
        </w:rPr>
        <w:t>ии и ее</w:t>
      </w:r>
      <w:r>
        <w:rPr>
          <w:rFonts w:ascii="Times New Roman" w:hAnsi="Times New Roman"/>
          <w:color w:val="000000"/>
          <w:sz w:val="30"/>
        </w:rPr>
        <w:t xml:space="preserve"> утилизации;</w:t>
      </w:r>
    </w:p>
    <w:p w14:paraId="04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б) зрители должны находиться с наветренной стороны.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изделий;</w:t>
      </w:r>
    </w:p>
    <w:p w14:paraId="05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в) на площадках, с которых запускаются пиротехнические изделия, запрещается курить и разводить огонь, а также оставлять пиротехнические изделия без присмотра;</w:t>
      </w:r>
    </w:p>
    <w:p w14:paraId="06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г) безопасность при устройстве фейерверков возлагается на организацию и (или) физических лиц, проводящих фейерверк;</w:t>
      </w:r>
    </w:p>
    <w:p w14:paraId="07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д) после использования пиротехнических изделий территория должна быть осмотрена и очищена от отработанных, несработавших пиротехнических изделий и их опасных элементов.</w:t>
      </w:r>
    </w:p>
    <w:p w14:paraId="08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442. Применение пиротехнических изделий запрещается: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color w:val="828282"/>
          <w:sz w:val="28"/>
        </w:rPr>
      </w:pPr>
      <w:r>
        <w:rPr>
          <w:rFonts w:ascii="Times New Roman" w:hAnsi="Times New Roman"/>
          <w:color w:val="828282"/>
          <w:sz w:val="28"/>
        </w:rPr>
        <w:t>(в ред. </w:t>
      </w:r>
      <w:r>
        <w:rPr>
          <w:rFonts w:ascii="Times New Roman" w:hAnsi="Times New Roman"/>
          <w:color w:val="1A0DAB"/>
          <w:sz w:val="28"/>
        </w:rPr>
        <w:fldChar w:fldCharType="begin"/>
      </w:r>
      <w:r>
        <w:rPr>
          <w:rFonts w:ascii="Times New Roman" w:hAnsi="Times New Roman"/>
          <w:color w:val="1A0DAB"/>
          <w:sz w:val="28"/>
        </w:rPr>
        <w:instrText>HYPERLINK "https://www.consultant.ru/document/cons_doc_LAW_430162/d1d36187b078781eeba335bb458e8e1af890879e/#dst100110"</w:instrText>
      </w:r>
      <w:r>
        <w:rPr>
          <w:rFonts w:ascii="Times New Roman" w:hAnsi="Times New Roman"/>
          <w:color w:val="1A0DAB"/>
          <w:sz w:val="28"/>
        </w:rPr>
        <w:fldChar w:fldCharType="separate"/>
      </w:r>
      <w:r>
        <w:rPr>
          <w:rFonts w:ascii="Times New Roman" w:hAnsi="Times New Roman"/>
          <w:color w:val="1A0DAB"/>
          <w:sz w:val="28"/>
        </w:rPr>
        <w:t>Постановления</w:t>
      </w:r>
      <w:r>
        <w:rPr>
          <w:rFonts w:ascii="Times New Roman" w:hAnsi="Times New Roman"/>
          <w:color w:val="1A0DAB"/>
          <w:sz w:val="28"/>
        </w:rPr>
        <w:fldChar w:fldCharType="end"/>
      </w:r>
      <w:r>
        <w:rPr>
          <w:rFonts w:ascii="Times New Roman" w:hAnsi="Times New Roman"/>
          <w:color w:val="828282"/>
          <w:sz w:val="28"/>
        </w:rPr>
        <w:t> Правительства РФ от 24.10.2022 N 1885)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color w:val="828282"/>
          <w:sz w:val="28"/>
        </w:rPr>
      </w:pPr>
      <w:r>
        <w:rPr>
          <w:rFonts w:ascii="Times New Roman" w:hAnsi="Times New Roman"/>
          <w:color w:val="828282"/>
          <w:sz w:val="28"/>
        </w:rPr>
        <w:t>(см. те</w:t>
      </w:r>
      <w:r>
        <w:rPr>
          <w:rFonts w:ascii="Times New Roman" w:hAnsi="Times New Roman"/>
          <w:color w:val="828282"/>
          <w:sz w:val="28"/>
        </w:rPr>
        <w:t>кст в пр</w:t>
      </w:r>
      <w:r>
        <w:rPr>
          <w:rFonts w:ascii="Times New Roman" w:hAnsi="Times New Roman"/>
          <w:color w:val="828282"/>
          <w:sz w:val="28"/>
        </w:rPr>
        <w:t>едыдущей </w:t>
      </w:r>
      <w:r>
        <w:rPr>
          <w:rFonts w:ascii="Times New Roman" w:hAnsi="Times New Roman"/>
          <w:color w:val="1A0DAB"/>
          <w:sz w:val="28"/>
        </w:rPr>
        <w:fldChar w:fldCharType="begin"/>
      </w:r>
      <w:r>
        <w:rPr>
          <w:rFonts w:ascii="Times New Roman" w:hAnsi="Times New Roman"/>
          <w:color w:val="1A0DAB"/>
          <w:sz w:val="28"/>
        </w:rPr>
        <w:instrText>HYPERLINK "https://www.consultant.ru/document/cons_doc_LAW_363263/a330a1ea087f4ce635dac603e2a883d43baa447f/"</w:instrText>
      </w:r>
      <w:r>
        <w:rPr>
          <w:rFonts w:ascii="Times New Roman" w:hAnsi="Times New Roman"/>
          <w:color w:val="1A0DAB"/>
          <w:sz w:val="28"/>
        </w:rPr>
        <w:fldChar w:fldCharType="separate"/>
      </w:r>
      <w:r>
        <w:rPr>
          <w:rFonts w:ascii="Times New Roman" w:hAnsi="Times New Roman"/>
          <w:color w:val="1A0DAB"/>
          <w:sz w:val="28"/>
        </w:rPr>
        <w:t>редакции</w:t>
      </w:r>
      <w:r>
        <w:rPr>
          <w:rFonts w:ascii="Times New Roman" w:hAnsi="Times New Roman"/>
          <w:color w:val="1A0DAB"/>
          <w:sz w:val="28"/>
        </w:rPr>
        <w:fldChar w:fldCharType="end"/>
      </w:r>
      <w:r>
        <w:rPr>
          <w:rFonts w:ascii="Times New Roman" w:hAnsi="Times New Roman"/>
          <w:color w:val="828282"/>
          <w:sz w:val="28"/>
        </w:rPr>
        <w:t>)</w:t>
      </w:r>
    </w:p>
    <w:p w14:paraId="0B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а) в зданиях и сооружениях любого функционального назначения, в том числе на кровлях (покрытиях), балконах, лоджиях и выступающих частях фасадов зданий и сооружений, за исключением применения специальных сценических эффектов, профессиональных пиротехнических изделий технического назначения и устройств, создающих огневые эффекты, для которых разработан комплекс дополнительных инженерно-технических мероприятий по обеспечению пожарной безопасности;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color w:val="828282"/>
          <w:sz w:val="28"/>
        </w:rPr>
      </w:pPr>
      <w:r>
        <w:rPr>
          <w:rFonts w:ascii="Times New Roman" w:hAnsi="Times New Roman"/>
          <w:color w:val="828282"/>
          <w:sz w:val="28"/>
        </w:rPr>
        <w:t>(</w:t>
      </w:r>
      <w:r>
        <w:rPr>
          <w:rFonts w:ascii="Times New Roman" w:hAnsi="Times New Roman"/>
          <w:color w:val="828282"/>
          <w:sz w:val="28"/>
        </w:rPr>
        <w:t>пп</w:t>
      </w:r>
      <w:r>
        <w:rPr>
          <w:rFonts w:ascii="Times New Roman" w:hAnsi="Times New Roman"/>
          <w:color w:val="828282"/>
          <w:sz w:val="28"/>
        </w:rPr>
        <w:t>. "а" в ред. </w:t>
      </w:r>
      <w:r>
        <w:rPr>
          <w:rFonts w:ascii="Times New Roman" w:hAnsi="Times New Roman"/>
          <w:color w:val="1A0DAB"/>
          <w:sz w:val="28"/>
        </w:rPr>
        <w:fldChar w:fldCharType="begin"/>
      </w:r>
      <w:r>
        <w:rPr>
          <w:rFonts w:ascii="Times New Roman" w:hAnsi="Times New Roman"/>
          <w:color w:val="1A0DAB"/>
          <w:sz w:val="28"/>
        </w:rPr>
        <w:instrText>HYPERLINK "https://www.consultant.ru/document/cons_doc_LAW_430162/d1d36187b078781eeba335bb458e8e1af890879e/#dst100111"</w:instrText>
      </w:r>
      <w:r>
        <w:rPr>
          <w:rFonts w:ascii="Times New Roman" w:hAnsi="Times New Roman"/>
          <w:color w:val="1A0DAB"/>
          <w:sz w:val="28"/>
        </w:rPr>
        <w:fldChar w:fldCharType="separate"/>
      </w:r>
      <w:r>
        <w:rPr>
          <w:rFonts w:ascii="Times New Roman" w:hAnsi="Times New Roman"/>
          <w:color w:val="1A0DAB"/>
          <w:sz w:val="28"/>
        </w:rPr>
        <w:t>Постановления</w:t>
      </w:r>
      <w:r>
        <w:rPr>
          <w:rFonts w:ascii="Times New Roman" w:hAnsi="Times New Roman"/>
          <w:color w:val="1A0DAB"/>
          <w:sz w:val="28"/>
        </w:rPr>
        <w:fldChar w:fldCharType="end"/>
      </w:r>
      <w:r>
        <w:rPr>
          <w:rFonts w:ascii="Times New Roman" w:hAnsi="Times New Roman"/>
          <w:color w:val="828282"/>
          <w:sz w:val="28"/>
        </w:rPr>
        <w:t> Правительства РФ от 24.10.2022 N 1885)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color w:val="828282"/>
          <w:sz w:val="28"/>
        </w:rPr>
      </w:pPr>
      <w:r>
        <w:rPr>
          <w:rFonts w:ascii="Times New Roman" w:hAnsi="Times New Roman"/>
          <w:color w:val="828282"/>
          <w:sz w:val="28"/>
        </w:rPr>
        <w:t>(см. те</w:t>
      </w:r>
      <w:r>
        <w:rPr>
          <w:rFonts w:ascii="Times New Roman" w:hAnsi="Times New Roman"/>
          <w:color w:val="828282"/>
          <w:sz w:val="28"/>
        </w:rPr>
        <w:t>кст в пр</w:t>
      </w:r>
      <w:r>
        <w:rPr>
          <w:rFonts w:ascii="Times New Roman" w:hAnsi="Times New Roman"/>
          <w:color w:val="828282"/>
          <w:sz w:val="28"/>
        </w:rPr>
        <w:t>едыдущей </w:t>
      </w:r>
      <w:r>
        <w:rPr>
          <w:rFonts w:ascii="Times New Roman" w:hAnsi="Times New Roman"/>
          <w:color w:val="1A0DAB"/>
          <w:sz w:val="28"/>
        </w:rPr>
        <w:fldChar w:fldCharType="begin"/>
      </w:r>
      <w:r>
        <w:rPr>
          <w:rFonts w:ascii="Times New Roman" w:hAnsi="Times New Roman"/>
          <w:color w:val="1A0DAB"/>
          <w:sz w:val="28"/>
        </w:rPr>
        <w:instrText>HYPERLINK "https://www.consultant.ru/document/cons_doc_LAW_363263/a330a1ea087f4ce635dac603e2a883d43baa447f/"</w:instrText>
      </w:r>
      <w:r>
        <w:rPr>
          <w:rFonts w:ascii="Times New Roman" w:hAnsi="Times New Roman"/>
          <w:color w:val="1A0DAB"/>
          <w:sz w:val="28"/>
        </w:rPr>
        <w:fldChar w:fldCharType="separate"/>
      </w:r>
      <w:r>
        <w:rPr>
          <w:rFonts w:ascii="Times New Roman" w:hAnsi="Times New Roman"/>
          <w:color w:val="1A0DAB"/>
          <w:sz w:val="28"/>
        </w:rPr>
        <w:t>редакции</w:t>
      </w:r>
      <w:r>
        <w:rPr>
          <w:rFonts w:ascii="Times New Roman" w:hAnsi="Times New Roman"/>
          <w:color w:val="1A0DAB"/>
          <w:sz w:val="28"/>
        </w:rPr>
        <w:fldChar w:fldCharType="end"/>
      </w:r>
      <w:r>
        <w:rPr>
          <w:rFonts w:ascii="Times New Roman" w:hAnsi="Times New Roman"/>
          <w:color w:val="828282"/>
          <w:sz w:val="28"/>
        </w:rPr>
        <w:t>)</w:t>
      </w:r>
    </w:p>
    <w:p w14:paraId="0E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14:paraId="0F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в) утратил силу с 1 марта 2023 года. - </w:t>
      </w:r>
      <w:r>
        <w:rPr>
          <w:rFonts w:ascii="Times New Roman" w:hAnsi="Times New Roman"/>
          <w:color w:val="1A0DAB"/>
          <w:sz w:val="30"/>
          <w:u w:val="single"/>
        </w:rPr>
        <w:fldChar w:fldCharType="begin"/>
      </w:r>
      <w:r>
        <w:rPr>
          <w:rFonts w:ascii="Times New Roman" w:hAnsi="Times New Roman"/>
          <w:color w:val="1A0DAB"/>
          <w:sz w:val="30"/>
          <w:u w:val="single"/>
        </w:rPr>
        <w:instrText>HYPERLINK "https://www.consultant.ru/document/cons_doc_LAW_430162/d1d36187b078781eeba335bb458e8e1af890879e/#dst100113"</w:instrText>
      </w:r>
      <w:r>
        <w:rPr>
          <w:rFonts w:ascii="Times New Roman" w:hAnsi="Times New Roman"/>
          <w:color w:val="1A0DAB"/>
          <w:sz w:val="30"/>
          <w:u w:val="single"/>
        </w:rPr>
        <w:fldChar w:fldCharType="separate"/>
      </w:r>
      <w:r>
        <w:rPr>
          <w:rFonts w:ascii="Times New Roman" w:hAnsi="Times New Roman"/>
          <w:color w:val="1A0DAB"/>
          <w:sz w:val="30"/>
          <w:u w:val="single"/>
        </w:rPr>
        <w:t>Постановление</w:t>
      </w:r>
      <w:r>
        <w:rPr>
          <w:rFonts w:ascii="Times New Roman" w:hAnsi="Times New Roman"/>
          <w:color w:val="1A0DAB"/>
          <w:sz w:val="30"/>
          <w:u w:val="single"/>
        </w:rPr>
        <w:fldChar w:fldCharType="end"/>
      </w:r>
      <w:r>
        <w:rPr>
          <w:rFonts w:ascii="Times New Roman" w:hAnsi="Times New Roman"/>
          <w:color w:val="000000"/>
          <w:sz w:val="30"/>
        </w:rPr>
        <w:t> Правительства РФ от 24.10.2022 N 1885;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color w:val="828282"/>
          <w:sz w:val="28"/>
        </w:rPr>
      </w:pPr>
      <w:r>
        <w:rPr>
          <w:rFonts w:ascii="Times New Roman" w:hAnsi="Times New Roman"/>
          <w:color w:val="828282"/>
          <w:sz w:val="28"/>
        </w:rPr>
        <w:t>(см. те</w:t>
      </w:r>
      <w:r>
        <w:rPr>
          <w:rFonts w:ascii="Times New Roman" w:hAnsi="Times New Roman"/>
          <w:color w:val="828282"/>
          <w:sz w:val="28"/>
        </w:rPr>
        <w:t>кст в пр</w:t>
      </w:r>
      <w:r>
        <w:rPr>
          <w:rFonts w:ascii="Times New Roman" w:hAnsi="Times New Roman"/>
          <w:color w:val="828282"/>
          <w:sz w:val="28"/>
        </w:rPr>
        <w:t>едыдущей </w:t>
      </w:r>
      <w:r>
        <w:rPr>
          <w:rFonts w:ascii="Times New Roman" w:hAnsi="Times New Roman"/>
          <w:color w:val="1A0DAB"/>
          <w:sz w:val="28"/>
        </w:rPr>
        <w:fldChar w:fldCharType="begin"/>
      </w:r>
      <w:r>
        <w:rPr>
          <w:rFonts w:ascii="Times New Roman" w:hAnsi="Times New Roman"/>
          <w:color w:val="1A0DAB"/>
          <w:sz w:val="28"/>
        </w:rPr>
        <w:instrText>HYPERLINK "https://www.consultant.ru/document/cons_doc_LAW_363263/a330a1ea087f4ce635dac603e2a883d43baa447f/"</w:instrText>
      </w:r>
      <w:r>
        <w:rPr>
          <w:rFonts w:ascii="Times New Roman" w:hAnsi="Times New Roman"/>
          <w:color w:val="1A0DAB"/>
          <w:sz w:val="28"/>
        </w:rPr>
        <w:fldChar w:fldCharType="separate"/>
      </w:r>
      <w:r>
        <w:rPr>
          <w:rFonts w:ascii="Times New Roman" w:hAnsi="Times New Roman"/>
          <w:color w:val="1A0DAB"/>
          <w:sz w:val="28"/>
        </w:rPr>
        <w:t>редакции</w:t>
      </w:r>
      <w:r>
        <w:rPr>
          <w:rFonts w:ascii="Times New Roman" w:hAnsi="Times New Roman"/>
          <w:color w:val="1A0DAB"/>
          <w:sz w:val="28"/>
        </w:rPr>
        <w:fldChar w:fldCharType="end"/>
      </w:r>
      <w:r>
        <w:rPr>
          <w:rFonts w:ascii="Times New Roman" w:hAnsi="Times New Roman"/>
          <w:color w:val="828282"/>
          <w:sz w:val="28"/>
        </w:rPr>
        <w:t>)</w:t>
      </w:r>
    </w:p>
    <w:p w14:paraId="11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г) во время проведения митингов, демонстраций, шествий и пикетирования;</w:t>
      </w:r>
    </w:p>
    <w:p w14:paraId="12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д)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</w:t>
      </w:r>
    </w:p>
    <w:p w14:paraId="13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е) при погодных условиях, не позволяющих обеспечить безопасность при их использовании;</w:t>
      </w:r>
    </w:p>
    <w:p w14:paraId="14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ж) лицам, не преодолевшим возрастного ограничения, установленного производителем пиротехнического изделия.</w:t>
      </w:r>
    </w:p>
    <w:p w14:paraId="15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443. При хранении пиротехнических изделий на объектах розничной торговли:</w:t>
      </w:r>
    </w:p>
    <w:p w14:paraId="16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необходимо соблюдать требования инструкции (руководства) по эксплуатации изделий;</w:t>
      </w:r>
    </w:p>
    <w:p w14:paraId="17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отбракованную пиротехническую продукцию необходимо хранить отдельно от годной для реализации пиротехнической продукции;</w:t>
      </w:r>
    </w:p>
    <w:p w14:paraId="18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запрещается на складах и в кладовых помещениях совместное хранение пиротехнической продукции с иными товарами (изделиями);</w:t>
      </w:r>
    </w:p>
    <w:p w14:paraId="19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запрещается размещение кладовых помещений для пиротехнических изделий на объектах торговли общей площадью торгового зала менее 25 кв. метров;</w:t>
      </w:r>
    </w:p>
    <w:p w14:paraId="1A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sz w:val="30"/>
        </w:rPr>
        <w:t>для объектов торговли площадью торгового зала менее 25 кв. метров количество пиротехнических изделий не должно превышать более 100 килограммов по массе брутто.</w:t>
      </w:r>
      <w:r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color w:val="000000"/>
          <w:sz w:val="30"/>
        </w:rPr>
        <w:t>Загрузка пиротехническими изделиями торгового зала объекта торговли не должна превышать норму загрузки склада либо кладового помещения;</w:t>
      </w:r>
    </w:p>
    <w:p w14:paraId="1B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пиротехнические изделия на объектах торговли должны храниться в помещениях, выделенных противопожарными перегородками 1-го типа. Запрещается размещать изделия в подвальных помещениях и подземных этажах.</w:t>
      </w:r>
    </w:p>
    <w:p w14:paraId="1C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444. В процессе реализации (продажи) пиротехнической продукции выполняются следующие требования безопасности:</w:t>
      </w:r>
    </w:p>
    <w:p w14:paraId="1D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а)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изделиями, кроме визуального осмотра;</w:t>
      </w:r>
    </w:p>
    <w:p w14:paraId="1E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 xml:space="preserve">б) пиротехнические изделия располагаются не ближе 0,5 метра от нагревательных приборов системы отопления. Работы, </w:t>
      </w:r>
      <w:r>
        <w:rPr>
          <w:rFonts w:ascii="Times New Roman" w:hAnsi="Times New Roman"/>
          <w:color w:val="000000"/>
          <w:sz w:val="30"/>
        </w:rPr>
        <w:t xml:space="preserve">сопровождающиеся механическими и (или) тепловыми действиями, в </w:t>
      </w:r>
      <w:r>
        <w:rPr>
          <w:rFonts w:ascii="Times New Roman" w:hAnsi="Times New Roman"/>
          <w:color w:val="000000"/>
          <w:sz w:val="30"/>
        </w:rPr>
        <w:t>помещениях с пиротехническими изделиями не допускаются;</w:t>
      </w:r>
    </w:p>
    <w:p w14:paraId="1F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в) в торговых помещениях магазинов самообслуживания реализация пиротехнических изделий производится только в специализированных секциях продавцами-консультантами;</w:t>
      </w:r>
    </w:p>
    <w:p w14:paraId="20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г) пиротехнические изделия должны храниться в шкафах из негорючих материалов, установленных в помещениях, отгороженных от других помещений противопожарными перегородками и перекрытиями</w:t>
      </w:r>
      <w:r>
        <w:rPr>
          <w:rFonts w:ascii="Times New Roman" w:hAnsi="Times New Roman"/>
          <w:color w:val="000000"/>
          <w:sz w:val="30"/>
          <w:highlight w:val="red"/>
        </w:rPr>
        <w:t>.</w:t>
      </w:r>
    </w:p>
    <w:p w14:paraId="21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445. Конструкция и размещение торгового (выставочного) оборудования на объектах торговли должны исключать самостоятельный доступ покупателей к пиротехническим изделиям.</w:t>
      </w:r>
    </w:p>
    <w:p w14:paraId="22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При продаже пиротехнических изделий продавец обязан информировать покупателя о классе опасности и правилах обращения с указанными изделиями.</w:t>
      </w:r>
    </w:p>
    <w:p w14:paraId="23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446. На объектах торговли запрещается:</w:t>
      </w:r>
    </w:p>
    <w:p w14:paraId="24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а) размещать отделы, секции по продаже пиротехнических изделий, а также товаров в аэрозольной упаковке в торговом зале ближе 4 метров от выходов в лестничные клетки и другие эвакуационные выходы;</w:t>
      </w:r>
    </w:p>
    <w:p w14:paraId="25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 xml:space="preserve">б) хранить пиротехнические изделия в помещениях, не имеющих оконных проемов или систем вытяжной </w:t>
      </w:r>
      <w:r>
        <w:rPr>
          <w:rFonts w:ascii="Times New Roman" w:hAnsi="Times New Roman"/>
          <w:color w:val="000000"/>
          <w:sz w:val="30"/>
        </w:rPr>
        <w:t>противодымной</w:t>
      </w:r>
      <w:r>
        <w:rPr>
          <w:rFonts w:ascii="Times New Roman" w:hAnsi="Times New Roman"/>
          <w:color w:val="000000"/>
          <w:sz w:val="30"/>
        </w:rPr>
        <w:t xml:space="preserve"> вентиляции;</w:t>
      </w:r>
    </w:p>
    <w:p w14:paraId="26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в) хранить пиротехнические изделия совместно с другими горючими веществами и материалами;</w:t>
      </w:r>
    </w:p>
    <w:p w14:paraId="27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г) проводить огневые работы во время нахождения людей в торговых залах, а также в помещениях, где размещены на хранение пиротехнические изделия;</w:t>
      </w:r>
    </w:p>
    <w:p w14:paraId="28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д) расфасовывать изделия в торговых залах и на путях эвакуации;</w:t>
      </w:r>
    </w:p>
    <w:p w14:paraId="29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е) хранить пороховые изделия совместно с капсюлями или пиротехническими изделиями в одном шкафу;</w:t>
      </w:r>
    </w:p>
    <w:p w14:paraId="2A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ж) размещать упаковку (тару) с изделиями и шкафы (сейфы) с изделиями в подвальных помещениях;</w:t>
      </w:r>
    </w:p>
    <w:p w14:paraId="2B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з) хранить пиротехнические изделия в подвальных помещениях.</w:t>
      </w:r>
    </w:p>
    <w:p w14:paraId="2C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447. Реализация (продажа) пиротехнических изделий запрещается:</w:t>
      </w:r>
    </w:p>
    <w:p w14:paraId="2D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а) на объектах торговли, расположенных в жилых зданиях, зданиях вокзалов (воздушных, морских, речных, железнодорожных и автобусных), на платформах железнодорожных станций, остановках общественного транспорта, в наземных вестибюлях станций метрополитена, уличных переходах и в иных подземных сооружениях, а также в транспортных средствах и на территориях пожароопасных производственных объектов;</w:t>
      </w:r>
    </w:p>
    <w:p w14:paraId="2E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б) лицам, не достигшим 16-летнего возраста (если производителем не установлено другое возрастное ограничение);</w:t>
      </w:r>
    </w:p>
    <w:p w14:paraId="2F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в) при отсутствии (утрате) идентификационных признаков, инструкции (руководства) по эксплуатации, обязательного сертификата соответствия либо знака соответствия, при наличии следов порчи, истечении срока годности;</w:t>
      </w:r>
    </w:p>
    <w:p w14:paraId="30000000">
      <w:pPr>
        <w:spacing w:after="0" w:line="240" w:lineRule="auto"/>
        <w:ind w:firstLine="539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г) вне заводской потребительской упаковки.</w:t>
      </w:r>
      <w:bookmarkStart w:id="1" w:name="_GoBack"/>
      <w:bookmarkEnd w:id="1"/>
    </w:p>
    <w:p w14:paraId="31000000">
      <w:pPr>
        <w:spacing w:after="0" w:line="240" w:lineRule="auto"/>
        <w:ind w:firstLine="539" w:left="0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448.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(в том числе с учетом размеров опасной зоны).</w:t>
      </w:r>
    </w:p>
    <w:p w14:paraId="32000000">
      <w:pPr>
        <w:spacing w:line="240" w:lineRule="auto"/>
        <w:ind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2024-12-19T04:25:20Z</dcterms:modified>
</cp:coreProperties>
</file>