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2D3565">
        <w:rPr>
          <w:rFonts w:eastAsia="Calibri"/>
          <w:b/>
          <w:bCs/>
          <w:sz w:val="28"/>
          <w:szCs w:val="28"/>
        </w:rPr>
        <w:t>4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2D356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2D3565">
                    <w:rPr>
                      <w:rFonts w:eastAsia="Calibri"/>
                      <w:i/>
                      <w:sz w:val="28"/>
                      <w:szCs w:val="28"/>
                    </w:rPr>
                    <w:t>7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2D3565">
                    <w:rPr>
                      <w:rFonts w:eastAsia="Calibri"/>
                      <w:i/>
                      <w:sz w:val="28"/>
                      <w:szCs w:val="28"/>
                    </w:rPr>
                    <w:t>3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Тяжинского муниципального округа второго созыва</w:t>
      </w: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BA01B1">
        <w:rPr>
          <w:b/>
          <w:sz w:val="28"/>
          <w:szCs w:val="28"/>
        </w:rPr>
        <w:t xml:space="preserve">одномандатному </w:t>
      </w:r>
      <w:r>
        <w:rPr>
          <w:b/>
          <w:sz w:val="28"/>
          <w:szCs w:val="28"/>
        </w:rPr>
        <w:t xml:space="preserve">избирательному округу № </w:t>
      </w:r>
      <w:r w:rsidR="002D3565">
        <w:rPr>
          <w:b/>
          <w:sz w:val="28"/>
          <w:szCs w:val="28"/>
        </w:rPr>
        <w:t>4</w:t>
      </w:r>
    </w:p>
    <w:p w:rsidR="002355FB" w:rsidRDefault="002355FB" w:rsidP="002355FB">
      <w:pPr>
        <w:jc w:val="center"/>
        <w:rPr>
          <w:sz w:val="28"/>
          <w:szCs w:val="28"/>
        </w:rPr>
      </w:pPr>
    </w:p>
    <w:p w:rsidR="002355FB" w:rsidRDefault="002355FB" w:rsidP="002355FB">
      <w:pPr>
        <w:spacing w:line="360" w:lineRule="auto"/>
        <w:jc w:val="center"/>
        <w:rPr>
          <w:sz w:val="28"/>
          <w:szCs w:val="28"/>
        </w:rPr>
      </w:pPr>
    </w:p>
    <w:p w:rsidR="00175892" w:rsidRDefault="002355FB" w:rsidP="002355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№ 1 от 09.09.2024 года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окружной избирательной комиссии о результатах выборов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</w:t>
      </w:r>
      <w:r w:rsidR="002D3565">
        <w:rPr>
          <w:sz w:val="28"/>
          <w:szCs w:val="28"/>
        </w:rPr>
        <w:t>4</w:t>
      </w:r>
      <w:r>
        <w:rPr>
          <w:sz w:val="28"/>
          <w:szCs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2D3565">
        <w:rPr>
          <w:sz w:val="28"/>
          <w:szCs w:val="28"/>
        </w:rPr>
        <w:t>4</w:t>
      </w:r>
    </w:p>
    <w:p w:rsidR="002355FB" w:rsidRPr="008B0035" w:rsidRDefault="002355FB" w:rsidP="002355FB">
      <w:pPr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р е ш и л а:</w:t>
      </w:r>
    </w:p>
    <w:p w:rsidR="002355FB" w:rsidRDefault="002355FB" w:rsidP="002355FB">
      <w:pPr>
        <w:widowControl/>
        <w:numPr>
          <w:ilvl w:val="0"/>
          <w:numId w:val="1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выборы депутатов Совета народных депутатов </w:t>
      </w:r>
      <w:r w:rsidR="00175892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избирательному округу № </w:t>
      </w:r>
      <w:r w:rsidR="002D3565">
        <w:rPr>
          <w:sz w:val="28"/>
          <w:szCs w:val="28"/>
        </w:rPr>
        <w:t>4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2355FB" w:rsidRPr="0059440A" w:rsidRDefault="002355FB" w:rsidP="002355F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40A">
        <w:rPr>
          <w:rFonts w:ascii="Times New Roman" w:hAnsi="Times New Roman"/>
          <w:sz w:val="28"/>
          <w:szCs w:val="28"/>
        </w:rPr>
        <w:t xml:space="preserve">Признать избранным депутатом на выборах </w:t>
      </w:r>
      <w:proofErr w:type="gramStart"/>
      <w:r w:rsidRPr="0059440A"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175892" w:rsidRPr="0059440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Pr="0059440A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2D3565" w:rsidRPr="0059440A">
        <w:rPr>
          <w:rFonts w:ascii="Times New Roman" w:hAnsi="Times New Roman"/>
          <w:sz w:val="28"/>
          <w:szCs w:val="28"/>
        </w:rPr>
        <w:t>4</w:t>
      </w:r>
      <w:r w:rsidRPr="0059440A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proofErr w:type="spellStart"/>
      <w:r w:rsidR="002D3565" w:rsidRPr="0059440A">
        <w:rPr>
          <w:rFonts w:ascii="Times New Roman" w:hAnsi="Times New Roman"/>
          <w:sz w:val="28"/>
          <w:szCs w:val="28"/>
        </w:rPr>
        <w:t>Скресанова</w:t>
      </w:r>
      <w:proofErr w:type="spellEnd"/>
      <w:r w:rsidR="002D3565" w:rsidRPr="0059440A">
        <w:rPr>
          <w:rFonts w:ascii="Times New Roman" w:hAnsi="Times New Roman"/>
          <w:sz w:val="28"/>
          <w:szCs w:val="28"/>
        </w:rPr>
        <w:t xml:space="preserve"> Василия Вячеславовича</w:t>
      </w:r>
      <w:r w:rsidRPr="0059440A">
        <w:rPr>
          <w:rFonts w:ascii="Times New Roman" w:hAnsi="Times New Roman"/>
          <w:sz w:val="28"/>
          <w:szCs w:val="28"/>
        </w:rPr>
        <w:t>,</w:t>
      </w:r>
      <w:r w:rsidRPr="0059440A">
        <w:rPr>
          <w:rFonts w:ascii="Times New Roman" w:hAnsi="Times New Roman"/>
          <w:b/>
          <w:sz w:val="28"/>
          <w:szCs w:val="28"/>
        </w:rPr>
        <w:t xml:space="preserve"> </w:t>
      </w:r>
      <w:r w:rsidRPr="0059440A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</w:t>
      </w:r>
      <w:r w:rsidRPr="0059440A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2D3565" w:rsidRPr="0059440A">
        <w:rPr>
          <w:rFonts w:ascii="Times New Roman" w:hAnsi="Times New Roman"/>
          <w:sz w:val="28"/>
          <w:szCs w:val="28"/>
        </w:rPr>
        <w:t>4</w:t>
      </w:r>
      <w:r w:rsidRPr="0059440A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175892" w:rsidRPr="0059440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Pr="0059440A">
        <w:rPr>
          <w:rFonts w:ascii="Times New Roman" w:hAnsi="Times New Roman"/>
          <w:sz w:val="28"/>
          <w:szCs w:val="28"/>
        </w:rPr>
        <w:t>.</w:t>
      </w:r>
    </w:p>
    <w:p w:rsidR="00E21FEC" w:rsidRDefault="00E21FEC" w:rsidP="00E21F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Направить настоящее решение в Избирательную комиссию Кемеровской области – Кузбасса для опубликования в официально</w:t>
      </w:r>
      <w:bookmarkStart w:id="0" w:name="_GoBack"/>
      <w:bookmarkEnd w:id="0"/>
      <w:r>
        <w:rPr>
          <w:sz w:val="28"/>
          <w:szCs w:val="28"/>
        </w:rPr>
        <w:t>м сетевом издании «Вестник Избирательной комиссии Кемеровской области – Кузбасса», опубликовать настоящее решение в газете «Призы» и разместить на странице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355FB" w:rsidRPr="00E276D0" w:rsidRDefault="002355FB" w:rsidP="002355FB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4248"/>
        <w:gridCol w:w="2268"/>
        <w:gridCol w:w="2835"/>
      </w:tblGrid>
      <w:tr w:rsidR="002D46B2" w:rsidTr="00530342">
        <w:trPr>
          <w:trHeight w:val="1260"/>
        </w:trPr>
        <w:tc>
          <w:tcPr>
            <w:tcW w:w="4248" w:type="dxa"/>
          </w:tcPr>
          <w:p w:rsidR="002D46B2" w:rsidRDefault="002D46B2" w:rsidP="00530342">
            <w:pPr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</w:tr>
      <w:tr w:rsidR="002D46B2" w:rsidTr="00530342">
        <w:tc>
          <w:tcPr>
            <w:tcW w:w="4248" w:type="dxa"/>
            <w:hideMark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2D46B2" w:rsidRDefault="002D46B2" w:rsidP="002D46B2"/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75892"/>
    <w:rsid w:val="002355FB"/>
    <w:rsid w:val="002B651D"/>
    <w:rsid w:val="002D3565"/>
    <w:rsid w:val="002D46B2"/>
    <w:rsid w:val="003621E1"/>
    <w:rsid w:val="00386CE2"/>
    <w:rsid w:val="00422C7F"/>
    <w:rsid w:val="00527216"/>
    <w:rsid w:val="005704C5"/>
    <w:rsid w:val="0059440A"/>
    <w:rsid w:val="007260A4"/>
    <w:rsid w:val="009A5F24"/>
    <w:rsid w:val="009E1F87"/>
    <w:rsid w:val="00A433A8"/>
    <w:rsid w:val="00A60510"/>
    <w:rsid w:val="00A76219"/>
    <w:rsid w:val="00B76B90"/>
    <w:rsid w:val="00BB56D5"/>
    <w:rsid w:val="00C3335B"/>
    <w:rsid w:val="00E21FEC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004BC-0242-48DD-A835-0853C1D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22</cp:revision>
  <cp:lastPrinted>2024-07-14T05:44:00Z</cp:lastPrinted>
  <dcterms:created xsi:type="dcterms:W3CDTF">2024-07-14T11:54:00Z</dcterms:created>
  <dcterms:modified xsi:type="dcterms:W3CDTF">2024-09-08T06:37:00Z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